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outlineLvl w:val="0"/>
        <w:rPr>
          <w:rFonts w:hint="eastAsia" w:ascii="方正黑体_GBK" w:hAnsi="方正黑体_GBK" w:eastAsia="方正黑体_GBK" w:cs="方正黑体_GBK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  <w:highlight w:val="none"/>
          <w:lang w:eastAsia="zh-CN"/>
        </w:rPr>
        <w:t>附件：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jc w:val="center"/>
        <w:rPr>
          <w:rFonts w:hint="default" w:ascii="TimesNewRoman" w:hAnsi="TimesNewRoman" w:eastAsia="华文中宋" w:cs="TimesNewRoman"/>
          <w:b/>
          <w:color w:val="000000"/>
          <w:sz w:val="36"/>
          <w:szCs w:val="36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jc w:val="center"/>
        <w:rPr>
          <w:rFonts w:hint="default" w:ascii="TimesNewRoman" w:hAnsi="TimesNewRoman" w:eastAsia="华文中宋" w:cs="TimesNewRoman"/>
          <w:b/>
          <w:color w:val="000000"/>
          <w:sz w:val="36"/>
          <w:szCs w:val="36"/>
          <w:lang w:eastAsia="zh-CN"/>
        </w:rPr>
      </w:pPr>
      <w:r>
        <w:rPr>
          <w:rFonts w:hint="eastAsia" w:ascii="TimesNewRoman" w:hAnsi="TimesNewRoman" w:eastAsia="华文中宋" w:cs="TimesNewRoman"/>
          <w:b/>
          <w:color w:val="000000"/>
          <w:sz w:val="36"/>
          <w:szCs w:val="36"/>
          <w:lang w:eastAsia="zh-CN"/>
        </w:rPr>
        <w:t>淮南市</w:t>
      </w:r>
      <w:r>
        <w:rPr>
          <w:rFonts w:hint="eastAsia" w:ascii="TimesNewRoman" w:hAnsi="TimesNewRoman" w:eastAsia="华文中宋" w:cs="TimesNewRoman"/>
          <w:b/>
          <w:color w:val="000000"/>
          <w:sz w:val="36"/>
          <w:szCs w:val="36"/>
          <w:lang w:val="en-US" w:eastAsia="zh-CN"/>
        </w:rPr>
        <w:t>谢家集区人民法院</w:t>
      </w:r>
      <w:r>
        <w:rPr>
          <w:rFonts w:hint="eastAsia" w:ascii="华文细黑" w:hAnsi="华文细黑" w:eastAsia="华文细黑" w:cs="华文细黑"/>
          <w:b/>
          <w:color w:val="000000"/>
          <w:sz w:val="36"/>
          <w:szCs w:val="36"/>
          <w:lang w:val="en-US" w:eastAsia="zh-CN"/>
        </w:rPr>
        <w:t>2</w:t>
      </w:r>
      <w:r>
        <w:rPr>
          <w:rFonts w:hint="eastAsia" w:ascii="华文细黑" w:hAnsi="华文细黑" w:eastAsia="华文细黑" w:cs="华文细黑"/>
          <w:b/>
          <w:bCs/>
          <w:sz w:val="36"/>
          <w:szCs w:val="36"/>
        </w:rPr>
        <w:t>0</w:t>
      </w:r>
      <w:r>
        <w:rPr>
          <w:rFonts w:hint="eastAsia" w:ascii="华文细黑" w:hAnsi="华文细黑" w:eastAsia="华文细黑" w:cs="华文细黑"/>
          <w:b/>
          <w:color w:val="000000"/>
          <w:sz w:val="36"/>
          <w:szCs w:val="36"/>
          <w:lang w:val="en-US" w:eastAsia="zh-CN"/>
        </w:rPr>
        <w:t>26</w:t>
      </w:r>
      <w:r>
        <w:rPr>
          <w:rFonts w:hint="default" w:ascii="TimesNewRoman" w:hAnsi="TimesNewRoman" w:eastAsia="华文中宋" w:cs="TimesNewRoman"/>
          <w:b/>
          <w:color w:val="000000"/>
          <w:sz w:val="36"/>
          <w:szCs w:val="36"/>
          <w:lang w:val="en-US" w:eastAsia="zh-CN"/>
        </w:rPr>
        <w:t>年度</w:t>
      </w:r>
      <w:r>
        <w:rPr>
          <w:rFonts w:hint="default" w:ascii="TimesNewRoman" w:hAnsi="TimesNewRoman" w:eastAsia="华文中宋" w:cs="TimesNewRoman"/>
          <w:b/>
          <w:color w:val="000000"/>
          <w:sz w:val="36"/>
          <w:szCs w:val="36"/>
        </w:rPr>
        <w:t>项目</w:t>
      </w:r>
      <w:r>
        <w:rPr>
          <w:rFonts w:hint="default" w:ascii="TimesNewRoman" w:hAnsi="TimesNewRoman" w:eastAsia="华文中宋" w:cs="TimesNewRoman"/>
          <w:b/>
          <w:color w:val="000000"/>
          <w:sz w:val="36"/>
          <w:szCs w:val="36"/>
          <w:lang w:eastAsia="zh-CN"/>
        </w:rPr>
        <w:t>支出绩效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jc w:val="center"/>
        <w:rPr>
          <w:rFonts w:hint="default" w:ascii="TimesNewRoman" w:hAnsi="TimesNewRoman" w:eastAsia="华文中宋" w:cs="TimesNewRoman"/>
          <w:b/>
          <w:color w:val="000000"/>
          <w:sz w:val="36"/>
          <w:szCs w:val="36"/>
          <w:lang w:eastAsia="zh-CN"/>
        </w:rPr>
      </w:pPr>
      <w:r>
        <w:rPr>
          <w:rFonts w:hint="default" w:ascii="TimesNewRoman" w:hAnsi="TimesNewRoman" w:eastAsia="华文中宋" w:cs="TimesNewRoman"/>
          <w:b/>
          <w:color w:val="000000"/>
          <w:sz w:val="36"/>
          <w:szCs w:val="36"/>
          <w:lang w:eastAsia="zh-CN"/>
        </w:rPr>
        <w:t>目标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outlineLvl w:val="0"/>
        <w:rPr>
          <w:rFonts w:hint="default" w:ascii="TimesNewRoman" w:hAnsi="TimesNewRoman" w:eastAsia="仿宋_GB2312" w:cs="TimesNewRoman"/>
          <w:b w:val="0"/>
          <w:bCs w:val="0"/>
          <w:color w:val="000000"/>
          <w:sz w:val="32"/>
          <w:szCs w:val="32"/>
          <w:highlight w:val="none"/>
          <w:lang w:eastAsia="zh-CN"/>
        </w:rPr>
      </w:pPr>
    </w:p>
    <w:tbl>
      <w:tblPr>
        <w:tblStyle w:val="4"/>
        <w:tblW w:w="852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3795"/>
        <w:gridCol w:w="36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default" w:ascii="TimesNewRoman" w:hAnsi="TimesNewRoman" w:eastAsia="仿宋_GB2312" w:cs="TimesNewRoman"/>
                <w:b w:val="0"/>
                <w:bCs w:val="0"/>
                <w:color w:val="00000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NewRoman" w:hAnsi="TimesNewRoman" w:eastAsia="仿宋_GB2312" w:cs="TimesNewRoman"/>
                <w:color w:val="000000"/>
                <w:kern w:val="2"/>
                <w:sz w:val="32"/>
                <w:szCs w:val="32"/>
                <w:lang w:val="en-US" w:eastAsia="zh-CN" w:bidi="ar-SA"/>
              </w:rPr>
              <w:t>项目支出绩效目标公开清单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default" w:ascii="TimesNewRoman" w:hAnsi="TimesNewRoman" w:eastAsia="仿宋_GB2312" w:cs="TimesNew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NewRoman" w:hAnsi="TimesNewRoman" w:eastAsia="仿宋_GB2312" w:cs="TimesNewRoman"/>
                <w:color w:val="000000"/>
                <w:kern w:val="2"/>
                <w:sz w:val="32"/>
                <w:szCs w:val="32"/>
                <w:lang w:val="en-US" w:eastAsia="zh-CN" w:bidi="ar-SA"/>
              </w:rPr>
              <w:t>序号</w:t>
            </w:r>
          </w:p>
        </w:tc>
        <w:tc>
          <w:tcPr>
            <w:tcW w:w="3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default" w:ascii="TimesNewRoman" w:hAnsi="TimesNewRoman" w:eastAsia="仿宋_GB2312" w:cs="TimesNew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NewRoman" w:hAnsi="TimesNewRoman" w:eastAsia="仿宋_GB2312" w:cs="TimesNewRoman"/>
                <w:color w:val="000000"/>
                <w:kern w:val="2"/>
                <w:sz w:val="32"/>
                <w:szCs w:val="32"/>
                <w:lang w:val="en-US" w:eastAsia="zh-CN" w:bidi="ar-SA"/>
              </w:rPr>
              <w:t>项目名称</w:t>
            </w:r>
          </w:p>
        </w:tc>
        <w:tc>
          <w:tcPr>
            <w:tcW w:w="36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default" w:ascii="TimesNewRoman" w:hAnsi="TimesNewRoman" w:eastAsia="仿宋_GB2312" w:cs="TimesNew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NewRoman" w:hAnsi="TimesNewRoman" w:eastAsia="仿宋_GB2312" w:cs="TimesNewRoman"/>
                <w:color w:val="000000"/>
                <w:kern w:val="2"/>
                <w:sz w:val="32"/>
                <w:szCs w:val="32"/>
                <w:lang w:val="en-US" w:eastAsia="zh-CN" w:bidi="ar-SA"/>
              </w:rPr>
              <w:t>预算金额（单位：万元）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eastAsia" w:ascii="华文细黑" w:hAnsi="华文细黑" w:eastAsia="华文细黑" w:cs="华文细黑"/>
                <w:b w:val="0"/>
                <w:bCs w:val="0"/>
                <w:color w:val="00000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b w:val="0"/>
                <w:bCs w:val="0"/>
                <w:color w:val="000000"/>
                <w:sz w:val="32"/>
                <w:szCs w:val="32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3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default" w:ascii="TimesNewRoman" w:hAnsi="TimesNewRoman" w:eastAsia="仿宋_GB2312" w:cs="TimesNewRoman"/>
                <w:b w:val="0"/>
                <w:bCs w:val="0"/>
                <w:color w:val="00000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b w:val="0"/>
                <w:bCs w:val="0"/>
                <w:color w:val="000000"/>
                <w:sz w:val="32"/>
                <w:szCs w:val="32"/>
                <w:highlight w:val="none"/>
                <w:vertAlign w:val="baseline"/>
                <w:lang w:val="en-US" w:eastAsia="zh-CN"/>
              </w:rPr>
              <w:t>办案业务经费</w:t>
            </w:r>
          </w:p>
        </w:tc>
        <w:tc>
          <w:tcPr>
            <w:tcW w:w="36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default" w:ascii="华文细黑" w:hAnsi="华文细黑" w:eastAsia="华文细黑" w:cs="华文细黑"/>
                <w:b w:val="0"/>
                <w:bCs w:val="0"/>
                <w:color w:val="00000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b w:val="0"/>
                <w:bCs w:val="0"/>
                <w:color w:val="000000"/>
                <w:sz w:val="32"/>
                <w:szCs w:val="32"/>
                <w:highlight w:val="none"/>
                <w:vertAlign w:val="baseline"/>
                <w:lang w:val="en-US" w:eastAsia="zh-CN"/>
              </w:rPr>
              <w:t>487.8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1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eastAsia" w:ascii="华文细黑" w:hAnsi="华文细黑" w:eastAsia="华文细黑" w:cs="华文细黑"/>
                <w:b w:val="0"/>
                <w:bCs w:val="0"/>
                <w:color w:val="00000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b w:val="0"/>
                <w:bCs w:val="0"/>
                <w:color w:val="000000"/>
                <w:sz w:val="32"/>
                <w:szCs w:val="32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3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default" w:ascii="TimesNewRoman" w:hAnsi="TimesNewRoman" w:eastAsia="仿宋_GB2312" w:cs="TimesNewRoman"/>
                <w:b w:val="0"/>
                <w:bCs w:val="0"/>
                <w:color w:val="00000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b w:val="0"/>
                <w:bCs w:val="0"/>
                <w:color w:val="000000"/>
                <w:sz w:val="32"/>
                <w:szCs w:val="32"/>
                <w:highlight w:val="none"/>
                <w:vertAlign w:val="baseline"/>
                <w:lang w:val="en-US" w:eastAsia="zh-CN"/>
              </w:rPr>
              <w:t>法院日常行政运行费</w:t>
            </w:r>
          </w:p>
        </w:tc>
        <w:tc>
          <w:tcPr>
            <w:tcW w:w="36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default" w:ascii="华文细黑" w:hAnsi="华文细黑" w:eastAsia="华文细黑" w:cs="华文细黑"/>
                <w:b w:val="0"/>
                <w:bCs w:val="0"/>
                <w:color w:val="00000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b w:val="0"/>
                <w:bCs w:val="0"/>
                <w:color w:val="000000"/>
                <w:sz w:val="32"/>
                <w:szCs w:val="32"/>
                <w:highlight w:val="none"/>
                <w:vertAlign w:val="baseline"/>
                <w:lang w:val="en-US" w:eastAsia="zh-CN"/>
              </w:rPr>
              <w:t>692.6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default" w:ascii="华文细黑" w:hAnsi="华文细黑" w:eastAsia="华文细黑" w:cs="华文细黑"/>
                <w:b w:val="0"/>
                <w:bCs w:val="0"/>
                <w:color w:val="00000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b w:val="0"/>
                <w:bCs w:val="0"/>
                <w:color w:val="000000"/>
                <w:sz w:val="32"/>
                <w:szCs w:val="32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3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default" w:ascii="TimesNewRoman" w:hAnsi="TimesNewRoman" w:eastAsia="仿宋_GB2312" w:cs="TimesNewRoman"/>
                <w:b w:val="0"/>
                <w:bCs w:val="0"/>
                <w:color w:val="00000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b w:val="0"/>
                <w:bCs w:val="0"/>
                <w:color w:val="000000"/>
                <w:sz w:val="32"/>
                <w:szCs w:val="32"/>
                <w:highlight w:val="none"/>
                <w:vertAlign w:val="baseline"/>
                <w:lang w:val="en-US" w:eastAsia="zh-CN"/>
              </w:rPr>
              <w:t>行政司法救助经费</w:t>
            </w:r>
          </w:p>
        </w:tc>
        <w:tc>
          <w:tcPr>
            <w:tcW w:w="36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default" w:ascii="华文细黑" w:hAnsi="华文细黑" w:eastAsia="华文细黑" w:cs="华文细黑"/>
                <w:b w:val="0"/>
                <w:bCs w:val="0"/>
                <w:color w:val="00000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b w:val="0"/>
                <w:bCs w:val="0"/>
                <w:color w:val="000000"/>
                <w:sz w:val="32"/>
                <w:szCs w:val="32"/>
                <w:highlight w:val="none"/>
                <w:vertAlign w:val="baseline"/>
                <w:lang w:val="en-US" w:eastAsia="zh-CN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eastAsia" w:ascii="华文细黑" w:hAnsi="华文细黑" w:eastAsia="华文细黑" w:cs="华文细黑"/>
                <w:b w:val="0"/>
                <w:bCs w:val="0"/>
                <w:color w:val="00000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eastAsia" w:ascii="TimesNewRoman" w:hAnsi="TimesNewRoman" w:cs="TimesNewRoman"/>
                <w:b w:val="0"/>
                <w:bCs w:val="0"/>
                <w:color w:val="00000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6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eastAsia" w:ascii="华文细黑" w:hAnsi="华文细黑" w:eastAsia="华文细黑" w:cs="华文细黑"/>
                <w:b w:val="0"/>
                <w:bCs w:val="0"/>
                <w:color w:val="00000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tabs>
          <w:tab w:val="left" w:pos="3316"/>
        </w:tabs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outlineLvl w:val="0"/>
        <w:rPr>
          <w:rFonts w:hint="default" w:ascii="TimesNewRoman" w:hAnsi="TimesNewRoman" w:eastAsia="黑体" w:cs="TimesNewRoman"/>
          <w:color w:val="000000"/>
          <w:sz w:val="36"/>
          <w:szCs w:val="36"/>
          <w:highlight w:val="none"/>
        </w:rPr>
      </w:pPr>
    </w:p>
    <w:tbl>
      <w:tblPr>
        <w:tblW w:w="833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09"/>
        <w:gridCol w:w="409"/>
        <w:gridCol w:w="520"/>
        <w:gridCol w:w="615"/>
        <w:gridCol w:w="2471"/>
        <w:gridCol w:w="1713"/>
        <w:gridCol w:w="219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83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项目支出绩效目标表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83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（2026年度）     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13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项目责任人：</w:t>
            </w:r>
          </w:p>
        </w:tc>
        <w:tc>
          <w:tcPr>
            <w:tcW w:w="30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单位（盖章）：</w:t>
            </w:r>
          </w:p>
        </w:tc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13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项目名称</w:t>
            </w:r>
          </w:p>
        </w:tc>
        <w:tc>
          <w:tcPr>
            <w:tcW w:w="699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办案业务经费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1338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主管部门及代码</w:t>
            </w:r>
          </w:p>
        </w:tc>
        <w:tc>
          <w:tcPr>
            <w:tcW w:w="3086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[185]淮南市谢家集区人民法院</w:t>
            </w:r>
          </w:p>
        </w:tc>
        <w:tc>
          <w:tcPr>
            <w:tcW w:w="1713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实施单位</w:t>
            </w:r>
          </w:p>
        </w:tc>
        <w:tc>
          <w:tcPr>
            <w:tcW w:w="21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淮南市谢家集区人民法院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13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项目来源</w:t>
            </w:r>
          </w:p>
        </w:tc>
        <w:tc>
          <w:tcPr>
            <w:tcW w:w="30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本级申报项目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项目期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1338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项目资金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（万元）</w:t>
            </w:r>
          </w:p>
        </w:tc>
        <w:tc>
          <w:tcPr>
            <w:tcW w:w="30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年度资金总额：</w:t>
            </w:r>
          </w:p>
        </w:tc>
        <w:tc>
          <w:tcPr>
            <w:tcW w:w="39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     487.75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1338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  其中：财政拨款</w:t>
            </w:r>
          </w:p>
        </w:tc>
        <w:tc>
          <w:tcPr>
            <w:tcW w:w="39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     487.75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1338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        其他资金</w:t>
            </w:r>
          </w:p>
        </w:tc>
        <w:tc>
          <w:tcPr>
            <w:tcW w:w="39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     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年度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目标</w:t>
            </w:r>
          </w:p>
        </w:tc>
        <w:tc>
          <w:tcPr>
            <w:tcW w:w="792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进一步提高政法经费保障水平，保障法院办案经费，有利于保证法院更好地行使审判权；通过办案经费的投入有效提高办案效率，确保法院各项工作运转高效，方便诉讼。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绩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效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指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标</w:t>
            </w:r>
          </w:p>
        </w:tc>
        <w:tc>
          <w:tcPr>
            <w:tcW w:w="409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一级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指标</w:t>
            </w:r>
          </w:p>
        </w:tc>
        <w:tc>
          <w:tcPr>
            <w:tcW w:w="11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二级指标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三级指标</w:t>
            </w:r>
          </w:p>
        </w:tc>
        <w:tc>
          <w:tcPr>
            <w:tcW w:w="39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指标值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产出指标</w:t>
            </w:r>
          </w:p>
        </w:tc>
        <w:tc>
          <w:tcPr>
            <w:tcW w:w="11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数量指标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办理案件数量</w:t>
            </w:r>
          </w:p>
        </w:tc>
        <w:tc>
          <w:tcPr>
            <w:tcW w:w="39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≥4000件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4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质量指标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办案程序规范性</w:t>
            </w:r>
          </w:p>
        </w:tc>
        <w:tc>
          <w:tcPr>
            <w:tcW w:w="39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规范性（合规或不合规）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时效指标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案件办理时限达标率</w:t>
            </w:r>
          </w:p>
        </w:tc>
        <w:tc>
          <w:tcPr>
            <w:tcW w:w="39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≥99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4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经费支出时效性</w:t>
            </w:r>
          </w:p>
        </w:tc>
        <w:tc>
          <w:tcPr>
            <w:tcW w:w="39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≤12月31日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4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成本指标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支付总额</w:t>
            </w:r>
          </w:p>
        </w:tc>
        <w:tc>
          <w:tcPr>
            <w:tcW w:w="39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≤4877500元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效益指标</w:t>
            </w:r>
          </w:p>
        </w:tc>
        <w:tc>
          <w:tcPr>
            <w:tcW w:w="11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经济效益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支持经济发展</w:t>
            </w:r>
          </w:p>
        </w:tc>
        <w:tc>
          <w:tcPr>
            <w:tcW w:w="39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有效提升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社会效益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对通过办案，有效惩治腐败的程度</w:t>
            </w:r>
          </w:p>
        </w:tc>
        <w:tc>
          <w:tcPr>
            <w:tcW w:w="39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有效惩治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生态效益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促进生态效益</w:t>
            </w:r>
          </w:p>
        </w:tc>
        <w:tc>
          <w:tcPr>
            <w:tcW w:w="39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较高促进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4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可持续影响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促进可持续发展</w:t>
            </w:r>
          </w:p>
        </w:tc>
        <w:tc>
          <w:tcPr>
            <w:tcW w:w="39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较高促进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4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满意度指标</w:t>
            </w:r>
          </w:p>
        </w:tc>
        <w:tc>
          <w:tcPr>
            <w:tcW w:w="11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服务对象满意度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社会公众满意度</w:t>
            </w:r>
          </w:p>
        </w:tc>
        <w:tc>
          <w:tcPr>
            <w:tcW w:w="39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≥98%</w:t>
            </w:r>
          </w:p>
        </w:tc>
      </w:tr>
    </w:tbl>
    <w:p>
      <w:pPr>
        <w:keepNext w:val="0"/>
        <w:keepLines w:val="0"/>
        <w:pageBreakBefore w:val="0"/>
        <w:tabs>
          <w:tab w:val="left" w:pos="3316"/>
        </w:tabs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outlineLvl w:val="0"/>
        <w:rPr>
          <w:rFonts w:hint="default" w:ascii="TimesNewRoman" w:hAnsi="TimesNewRoman" w:eastAsia="黑体" w:cs="TimesNewRoman"/>
          <w:color w:val="000000"/>
          <w:sz w:val="36"/>
          <w:szCs w:val="36"/>
          <w:highlight w:val="none"/>
        </w:rPr>
      </w:pPr>
    </w:p>
    <w:p>
      <w:pPr>
        <w:keepNext w:val="0"/>
        <w:keepLines w:val="0"/>
        <w:pageBreakBefore w:val="0"/>
        <w:tabs>
          <w:tab w:val="left" w:pos="3316"/>
        </w:tabs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outlineLvl w:val="0"/>
        <w:rPr>
          <w:rFonts w:hint="default" w:ascii="TimesNewRoman" w:hAnsi="TimesNewRoman" w:eastAsia="黑体" w:cs="TimesNewRoman"/>
          <w:color w:val="000000"/>
          <w:sz w:val="36"/>
          <w:szCs w:val="36"/>
          <w:highlight w:val="none"/>
        </w:rPr>
      </w:pPr>
    </w:p>
    <w:tbl>
      <w:tblPr>
        <w:tblW w:w="833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09"/>
        <w:gridCol w:w="409"/>
        <w:gridCol w:w="520"/>
        <w:gridCol w:w="615"/>
        <w:gridCol w:w="2471"/>
        <w:gridCol w:w="1713"/>
        <w:gridCol w:w="219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83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项目支出绩效目标表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83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（2026年度）     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13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项目责任人：</w:t>
            </w:r>
          </w:p>
        </w:tc>
        <w:tc>
          <w:tcPr>
            <w:tcW w:w="30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单位（盖章）：</w:t>
            </w:r>
          </w:p>
        </w:tc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13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项目名称</w:t>
            </w:r>
          </w:p>
        </w:tc>
        <w:tc>
          <w:tcPr>
            <w:tcW w:w="699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法院日常行政运行费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1338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主管部门及代码</w:t>
            </w:r>
          </w:p>
        </w:tc>
        <w:tc>
          <w:tcPr>
            <w:tcW w:w="3086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[185]淮南市谢家集区人民法院</w:t>
            </w:r>
          </w:p>
        </w:tc>
        <w:tc>
          <w:tcPr>
            <w:tcW w:w="1713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实施单位</w:t>
            </w:r>
          </w:p>
        </w:tc>
        <w:tc>
          <w:tcPr>
            <w:tcW w:w="21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淮南市谢家集区人民法院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13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项目来源</w:t>
            </w:r>
          </w:p>
        </w:tc>
        <w:tc>
          <w:tcPr>
            <w:tcW w:w="30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本级申报项目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项目期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1338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项目资金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（万元）</w:t>
            </w:r>
          </w:p>
        </w:tc>
        <w:tc>
          <w:tcPr>
            <w:tcW w:w="30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年度资金总额：</w:t>
            </w:r>
          </w:p>
        </w:tc>
        <w:tc>
          <w:tcPr>
            <w:tcW w:w="39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     692.61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1338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  其中：财政拨款</w:t>
            </w:r>
          </w:p>
        </w:tc>
        <w:tc>
          <w:tcPr>
            <w:tcW w:w="39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     692.61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1338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        其他资金</w:t>
            </w:r>
          </w:p>
        </w:tc>
        <w:tc>
          <w:tcPr>
            <w:tcW w:w="39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     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</w:trPr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年度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目标</w:t>
            </w:r>
          </w:p>
        </w:tc>
        <w:tc>
          <w:tcPr>
            <w:tcW w:w="792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通过安排的财政资金，计划完成 谢家集区人民法院日常人员办公，执法执勤车辆运行维护、审判大楼日常维修维护包括水电，电话费用等，通过一系列运行支出，保证法院各项工作运行正常。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绩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效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指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标</w:t>
            </w:r>
          </w:p>
        </w:tc>
        <w:tc>
          <w:tcPr>
            <w:tcW w:w="409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一级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指标</w:t>
            </w:r>
          </w:p>
        </w:tc>
        <w:tc>
          <w:tcPr>
            <w:tcW w:w="11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二级指标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三级指标</w:t>
            </w:r>
          </w:p>
        </w:tc>
        <w:tc>
          <w:tcPr>
            <w:tcW w:w="39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指标值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产出指标</w:t>
            </w:r>
          </w:p>
        </w:tc>
        <w:tc>
          <w:tcPr>
            <w:tcW w:w="11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数量指标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维持法院办案数</w:t>
            </w:r>
          </w:p>
        </w:tc>
        <w:tc>
          <w:tcPr>
            <w:tcW w:w="39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≥4000个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质量指标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保障人员数量</w:t>
            </w:r>
          </w:p>
        </w:tc>
        <w:tc>
          <w:tcPr>
            <w:tcW w:w="39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≥120人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4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时效指标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支付时间</w:t>
            </w:r>
          </w:p>
        </w:tc>
        <w:tc>
          <w:tcPr>
            <w:tcW w:w="39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运行维护按合同或者按实际发按时支付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4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成本指标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总成本数</w:t>
            </w:r>
          </w:p>
        </w:tc>
        <w:tc>
          <w:tcPr>
            <w:tcW w:w="39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≤6926118元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4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效益指标</w:t>
            </w:r>
          </w:p>
        </w:tc>
        <w:tc>
          <w:tcPr>
            <w:tcW w:w="11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经济效益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经济效益</w:t>
            </w:r>
          </w:p>
        </w:tc>
        <w:tc>
          <w:tcPr>
            <w:tcW w:w="39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审判机关办公条件得到保证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4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社会效益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社会效益</w:t>
            </w:r>
          </w:p>
        </w:tc>
        <w:tc>
          <w:tcPr>
            <w:tcW w:w="39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满足人民群众对诉讼服务环境的基本要求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4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生态效益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保护生态效益</w:t>
            </w:r>
          </w:p>
        </w:tc>
        <w:tc>
          <w:tcPr>
            <w:tcW w:w="39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有效保护生态环境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4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可持续影响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可持续效果</w:t>
            </w:r>
          </w:p>
        </w:tc>
        <w:tc>
          <w:tcPr>
            <w:tcW w:w="39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保证审判机关为人民群众提供法律服务需要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4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满意度指标</w:t>
            </w:r>
          </w:p>
        </w:tc>
        <w:tc>
          <w:tcPr>
            <w:tcW w:w="11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服务对象满意度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满意度</w:t>
            </w:r>
          </w:p>
        </w:tc>
        <w:tc>
          <w:tcPr>
            <w:tcW w:w="39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≥95%</w:t>
            </w:r>
          </w:p>
        </w:tc>
      </w:tr>
    </w:tbl>
    <w:p>
      <w:pPr>
        <w:keepNext w:val="0"/>
        <w:keepLines w:val="0"/>
        <w:pageBreakBefore w:val="0"/>
        <w:tabs>
          <w:tab w:val="left" w:pos="3316"/>
        </w:tabs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outlineLvl w:val="0"/>
        <w:rPr>
          <w:rFonts w:hint="default" w:ascii="TimesNewRoman" w:hAnsi="TimesNewRoman" w:eastAsia="黑体" w:cs="TimesNewRoman"/>
          <w:color w:val="000000"/>
          <w:sz w:val="36"/>
          <w:szCs w:val="36"/>
          <w:highlight w:val="none"/>
        </w:rPr>
      </w:pPr>
    </w:p>
    <w:p>
      <w:pPr>
        <w:keepNext w:val="0"/>
        <w:keepLines w:val="0"/>
        <w:pageBreakBefore w:val="0"/>
        <w:tabs>
          <w:tab w:val="left" w:pos="3316"/>
        </w:tabs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outlineLvl w:val="0"/>
        <w:rPr>
          <w:rFonts w:hint="default" w:ascii="TimesNewRoman" w:hAnsi="TimesNewRoman" w:eastAsia="黑体" w:cs="TimesNewRoman"/>
          <w:color w:val="000000"/>
          <w:sz w:val="36"/>
          <w:szCs w:val="36"/>
          <w:highlight w:val="none"/>
        </w:rPr>
      </w:pPr>
    </w:p>
    <w:tbl>
      <w:tblPr>
        <w:tblW w:w="833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09"/>
        <w:gridCol w:w="409"/>
        <w:gridCol w:w="520"/>
        <w:gridCol w:w="615"/>
        <w:gridCol w:w="2471"/>
        <w:gridCol w:w="1713"/>
        <w:gridCol w:w="219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83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项目支出绩效目标表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83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（2026年度）     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13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项目责任人：</w:t>
            </w:r>
          </w:p>
        </w:tc>
        <w:tc>
          <w:tcPr>
            <w:tcW w:w="30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单位（盖章）：</w:t>
            </w:r>
          </w:p>
        </w:tc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13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项目名称</w:t>
            </w:r>
          </w:p>
        </w:tc>
        <w:tc>
          <w:tcPr>
            <w:tcW w:w="699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行政司法救助经费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1338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主管部门及代码</w:t>
            </w:r>
          </w:p>
        </w:tc>
        <w:tc>
          <w:tcPr>
            <w:tcW w:w="3086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[185]淮南市谢家集区人民法院</w:t>
            </w:r>
          </w:p>
        </w:tc>
        <w:tc>
          <w:tcPr>
            <w:tcW w:w="1713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实施单位</w:t>
            </w:r>
          </w:p>
        </w:tc>
        <w:tc>
          <w:tcPr>
            <w:tcW w:w="21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淮南市谢家集区人民法院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13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项目来源</w:t>
            </w:r>
          </w:p>
        </w:tc>
        <w:tc>
          <w:tcPr>
            <w:tcW w:w="30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本级申报项目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项目期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1338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项目资金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（万元）</w:t>
            </w:r>
          </w:p>
        </w:tc>
        <w:tc>
          <w:tcPr>
            <w:tcW w:w="30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年度资金总额：</w:t>
            </w:r>
          </w:p>
        </w:tc>
        <w:tc>
          <w:tcPr>
            <w:tcW w:w="39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     40.00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1338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  其中：财政拨款</w:t>
            </w:r>
          </w:p>
        </w:tc>
        <w:tc>
          <w:tcPr>
            <w:tcW w:w="39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     40.00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1338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        其他资金</w:t>
            </w:r>
          </w:p>
        </w:tc>
        <w:tc>
          <w:tcPr>
            <w:tcW w:w="39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     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年度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目标</w:t>
            </w:r>
          </w:p>
        </w:tc>
        <w:tc>
          <w:tcPr>
            <w:tcW w:w="792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建立司法救助资金，让交不起诉讼费的群众打得起官司，让那些确实有冤情但是正义难以伸张的群众打得赢官司，有利于实现社会公平正义，维护司法的权威和公信。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绩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效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指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标</w:t>
            </w:r>
          </w:p>
        </w:tc>
        <w:tc>
          <w:tcPr>
            <w:tcW w:w="409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一级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指标</w:t>
            </w:r>
          </w:p>
        </w:tc>
        <w:tc>
          <w:tcPr>
            <w:tcW w:w="11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二级指标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三级指标</w:t>
            </w:r>
          </w:p>
        </w:tc>
        <w:tc>
          <w:tcPr>
            <w:tcW w:w="39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指标值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产出指标</w:t>
            </w:r>
          </w:p>
        </w:tc>
        <w:tc>
          <w:tcPr>
            <w:tcW w:w="11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数量指标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项目数量</w:t>
            </w:r>
          </w:p>
        </w:tc>
        <w:tc>
          <w:tcPr>
            <w:tcW w:w="39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≥4个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质量指标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对象资格符合率</w:t>
            </w:r>
          </w:p>
        </w:tc>
        <w:tc>
          <w:tcPr>
            <w:tcW w:w="39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≥100%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资金支出合规性</w:t>
            </w:r>
          </w:p>
        </w:tc>
        <w:tc>
          <w:tcPr>
            <w:tcW w:w="39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合规性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4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时效指标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计划完成时间</w:t>
            </w:r>
          </w:p>
        </w:tc>
        <w:tc>
          <w:tcPr>
            <w:tcW w:w="39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≤12月31日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成本指标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项目单位成本</w:t>
            </w:r>
          </w:p>
        </w:tc>
        <w:tc>
          <w:tcPr>
            <w:tcW w:w="39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≤400000元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效益指标</w:t>
            </w:r>
          </w:p>
        </w:tc>
        <w:tc>
          <w:tcPr>
            <w:tcW w:w="11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经济效益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对经济发展的影响程度</w:t>
            </w:r>
          </w:p>
        </w:tc>
        <w:tc>
          <w:tcPr>
            <w:tcW w:w="39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有效提升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4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社会效益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对完善公共服务，提高群众生活水平，促进和谐社会建设的改善和提升程度</w:t>
            </w:r>
          </w:p>
        </w:tc>
        <w:tc>
          <w:tcPr>
            <w:tcW w:w="39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有效提高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生态效益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对生态环境的影响</w:t>
            </w:r>
          </w:p>
        </w:tc>
        <w:tc>
          <w:tcPr>
            <w:tcW w:w="39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有效改善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4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可持续影响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促进可持续发展</w:t>
            </w:r>
          </w:p>
        </w:tc>
        <w:tc>
          <w:tcPr>
            <w:tcW w:w="39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较高促进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4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满意度指标</w:t>
            </w:r>
          </w:p>
        </w:tc>
        <w:tc>
          <w:tcPr>
            <w:tcW w:w="11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服务对象满意度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群众满意度</w:t>
            </w:r>
          </w:p>
        </w:tc>
        <w:tc>
          <w:tcPr>
            <w:tcW w:w="39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≥98%</w:t>
            </w:r>
            <w:bookmarkStart w:id="0" w:name="_GoBack"/>
            <w:bookmarkEnd w:id="0"/>
          </w:p>
        </w:tc>
      </w:tr>
    </w:tbl>
    <w:p>
      <w:pPr>
        <w:keepNext w:val="0"/>
        <w:keepLines w:val="0"/>
        <w:pageBreakBefore w:val="0"/>
        <w:tabs>
          <w:tab w:val="left" w:pos="3316"/>
        </w:tabs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outlineLvl w:val="0"/>
        <w:rPr>
          <w:rFonts w:hint="default" w:ascii="TimesNewRoman" w:hAnsi="TimesNewRoman" w:eastAsia="黑体" w:cs="TimesNewRoman"/>
          <w:color w:val="000000"/>
          <w:sz w:val="36"/>
          <w:szCs w:val="36"/>
          <w:highlight w:val="none"/>
        </w:rPr>
      </w:pPr>
    </w:p>
    <w:p>
      <w:pPr>
        <w:keepNext w:val="0"/>
        <w:keepLines w:val="0"/>
        <w:pageBreakBefore w:val="0"/>
        <w:tabs>
          <w:tab w:val="left" w:pos="3316"/>
        </w:tabs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outlineLvl w:val="0"/>
        <w:rPr>
          <w:rFonts w:hint="default" w:ascii="TimesNewRoman" w:hAnsi="TimesNewRoman" w:eastAsia="黑体" w:cs="TimesNewRoman"/>
          <w:color w:val="000000"/>
          <w:sz w:val="36"/>
          <w:szCs w:val="36"/>
          <w:highlight w:val="none"/>
        </w:rPr>
      </w:pPr>
    </w:p>
    <w:p>
      <w:pPr>
        <w:keepNext w:val="0"/>
        <w:keepLines w:val="0"/>
        <w:pageBreakBefore w:val="0"/>
        <w:tabs>
          <w:tab w:val="left" w:pos="3316"/>
        </w:tabs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outlineLvl w:val="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ascii="TimesNewRoman" w:hAnsi="TimesNewRoman" w:eastAsia="TimesNewRoman" w:cs="TimesNewRoman"/>
          <w:i w:val="0"/>
          <w:iCs w:val="0"/>
          <w:caps w:val="0"/>
          <w:color w:val="000000"/>
          <w:spacing w:val="0"/>
          <w:sz w:val="36"/>
          <w:szCs w:val="36"/>
          <w:shd w:val="clear" w:fill="FFFFFF"/>
        </w:rPr>
        <w:t> </w:t>
      </w: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TimesNewRoman">
    <w:altName w:val="Segoe Print"/>
    <w:panose1 w:val="02020603050405020304"/>
    <w:charset w:val="00"/>
    <w:family w:val="auto"/>
    <w:pitch w:val="default"/>
    <w:sig w:usb0="00000000" w:usb1="00000000" w:usb2="00000029" w:usb3="00000000" w:csb0="600001FF" w:csb1="FFFF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ZmOWJhNGI4ODM3YjljZTk4ODJhODI4YzI5NDMxNDMifQ=="/>
  </w:docVars>
  <w:rsids>
    <w:rsidRoot w:val="700F685A"/>
    <w:rsid w:val="01367202"/>
    <w:rsid w:val="054710EA"/>
    <w:rsid w:val="06FF585A"/>
    <w:rsid w:val="08B1306B"/>
    <w:rsid w:val="0A0D3A24"/>
    <w:rsid w:val="0B2F52E3"/>
    <w:rsid w:val="0F894672"/>
    <w:rsid w:val="12640283"/>
    <w:rsid w:val="1D1F7EB3"/>
    <w:rsid w:val="1EBD0C36"/>
    <w:rsid w:val="20864627"/>
    <w:rsid w:val="25B5463F"/>
    <w:rsid w:val="32FF13C6"/>
    <w:rsid w:val="355962FE"/>
    <w:rsid w:val="35CF32D1"/>
    <w:rsid w:val="4234768D"/>
    <w:rsid w:val="42AC04F6"/>
    <w:rsid w:val="476B3742"/>
    <w:rsid w:val="4F8B4779"/>
    <w:rsid w:val="57671164"/>
    <w:rsid w:val="5B144E96"/>
    <w:rsid w:val="62C0032D"/>
    <w:rsid w:val="6637767B"/>
    <w:rsid w:val="700F685A"/>
    <w:rsid w:val="75622B13"/>
    <w:rsid w:val="7CA90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rFonts w:eastAsia="宋体"/>
      <w:sz w:val="24"/>
      <w:szCs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6">
    <w:name w:val="Strong"/>
    <w:basedOn w:val="5"/>
    <w:qFormat/>
    <w:uiPriority w:val="0"/>
    <w:rPr>
      <w:b/>
    </w:rPr>
  </w:style>
  <w:style w:type="character" w:customStyle="1" w:styleId="7">
    <w:name w:val="font31"/>
    <w:basedOn w:val="5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8">
    <w:name w:val="font0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906</Words>
  <Characters>983</Characters>
  <Lines>0</Lines>
  <Paragraphs>0</Paragraphs>
  <TotalTime>9</TotalTime>
  <ScaleCrop>false</ScaleCrop>
  <LinksUpToDate>false</LinksUpToDate>
  <CharactersWithSpaces>1151</CharactersWithSpaces>
  <Application>WPS Office_11.8.6.8697_F1E327BC-269C-435d-A152-05C5408002CA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2024-02-08T00:41:00Z</dcterms:created>
  <dc:creator>   白日梦 </dc:creator>
  <cp:lastModifiedBy>Administrator</cp:lastModifiedBy>
  <dcterms:modified xsi:type="dcterms:W3CDTF">2026-02-27T02:05:26Z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2052-11.8.6.8697</vt:lpwstr>
  </property>
  <property fmtid="{D5CDD505-2E9C-101B-9397-08002B2CF9AE}" pid="3" name="ICV">
    <vt:lpwstr>ED0DE30285A34B5EB277B429C3557080_11</vt:lpwstr>
  </property>
  <property fmtid="{D5CDD505-2E9C-101B-9397-08002B2CF9AE}" pid="4" name="KSOTemplateDocerSaveRecord">
    <vt:lpwstr>eyJoZGlkIjoiZTZmOWJhNGI4ODM3YjljZTk4ODJhODI4YzI5NDMxNDMiLCJ1c2VySWQiOiIxNTEzMjk3NjYyIn0=</vt:lpwstr>
  </property>
</Properties>
</file>